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DD" w:rsidRPr="00761F32" w:rsidRDefault="002971F8" w:rsidP="000B159C">
      <w:pPr>
        <w:spacing w:after="0" w:line="240" w:lineRule="auto"/>
        <w:jc w:val="center"/>
        <w:rPr>
          <w:b/>
          <w:sz w:val="20"/>
        </w:rPr>
      </w:pPr>
      <w:r w:rsidRPr="00BD4A6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-243840</wp:posOffset>
            </wp:positionV>
            <wp:extent cx="1673455" cy="403829"/>
            <wp:effectExtent l="0" t="0" r="3175" b="0"/>
            <wp:wrapNone/>
            <wp:docPr id="1" name="Picture 0" descr="NRGStationery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GStationeryhea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4" t="74248" r="38205"/>
                    <a:stretch/>
                  </pic:blipFill>
                  <pic:spPr bwMode="auto">
                    <a:xfrm>
                      <a:off x="0" y="0"/>
                      <a:ext cx="1673455" cy="403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077" w:rsidRPr="00761F32">
        <w:rPr>
          <w:b/>
          <w:sz w:val="20"/>
        </w:rPr>
        <w:t>FOOD AND BEVERAGE</w:t>
      </w:r>
    </w:p>
    <w:p w:rsidR="008D5077" w:rsidRDefault="008D5077" w:rsidP="00761F32">
      <w:pPr>
        <w:spacing w:after="0" w:line="240" w:lineRule="auto"/>
        <w:jc w:val="center"/>
        <w:rPr>
          <w:b/>
          <w:sz w:val="20"/>
          <w:u w:val="single"/>
        </w:rPr>
      </w:pPr>
      <w:r w:rsidRPr="00761F32">
        <w:rPr>
          <w:b/>
          <w:sz w:val="20"/>
          <w:u w:val="single"/>
        </w:rPr>
        <w:t>SAMPLING GUIDELINES</w:t>
      </w:r>
    </w:p>
    <w:p w:rsidR="00761F32" w:rsidRPr="00761F32" w:rsidRDefault="00761F32" w:rsidP="00761F32">
      <w:pPr>
        <w:spacing w:after="0" w:line="240" w:lineRule="auto"/>
        <w:ind w:right="270"/>
        <w:jc w:val="center"/>
        <w:rPr>
          <w:b/>
          <w:sz w:val="16"/>
          <w:szCs w:val="14"/>
          <w:u w:val="single"/>
        </w:rPr>
      </w:pPr>
    </w:p>
    <w:p w:rsidR="008D5077" w:rsidRPr="00761F32" w:rsidRDefault="008D5077" w:rsidP="00761F32">
      <w:pPr>
        <w:pStyle w:val="ListParagraph"/>
        <w:numPr>
          <w:ilvl w:val="0"/>
          <w:numId w:val="1"/>
        </w:numPr>
        <w:ind w:right="270"/>
        <w:rPr>
          <w:sz w:val="18"/>
          <w:szCs w:val="18"/>
        </w:rPr>
      </w:pPr>
      <w:r w:rsidRPr="00761F32">
        <w:rPr>
          <w:sz w:val="18"/>
          <w:szCs w:val="18"/>
        </w:rPr>
        <w:t>There are two types of sampling:</w:t>
      </w:r>
    </w:p>
    <w:p w:rsidR="008D5077" w:rsidRPr="00761F32" w:rsidRDefault="008D5077" w:rsidP="00761F32">
      <w:pPr>
        <w:pStyle w:val="ListParagraph"/>
        <w:numPr>
          <w:ilvl w:val="1"/>
          <w:numId w:val="1"/>
        </w:numPr>
        <w:ind w:left="1080" w:right="270"/>
        <w:rPr>
          <w:sz w:val="18"/>
          <w:szCs w:val="18"/>
        </w:rPr>
      </w:pPr>
      <w:r w:rsidRPr="00761F32">
        <w:rPr>
          <w:sz w:val="18"/>
          <w:szCs w:val="18"/>
        </w:rPr>
        <w:t xml:space="preserve">An exhibitor distributes </w:t>
      </w:r>
      <w:r w:rsidRPr="00761F32">
        <w:rPr>
          <w:sz w:val="18"/>
          <w:szCs w:val="18"/>
          <w:u w:val="single"/>
        </w:rPr>
        <w:t>food samples</w:t>
      </w:r>
      <w:r w:rsidRPr="00761F32">
        <w:rPr>
          <w:sz w:val="18"/>
          <w:szCs w:val="18"/>
        </w:rPr>
        <w:t xml:space="preserve"> to market products by mail or other retail outlets. </w:t>
      </w:r>
    </w:p>
    <w:p w:rsidR="008D5077" w:rsidRPr="00761F32" w:rsidRDefault="008D5077" w:rsidP="00761F32">
      <w:pPr>
        <w:pStyle w:val="ListParagraph"/>
        <w:numPr>
          <w:ilvl w:val="1"/>
          <w:numId w:val="1"/>
        </w:numPr>
        <w:ind w:left="1080" w:right="270"/>
        <w:rPr>
          <w:sz w:val="18"/>
          <w:szCs w:val="18"/>
        </w:rPr>
      </w:pPr>
      <w:r w:rsidRPr="00761F32">
        <w:rPr>
          <w:sz w:val="18"/>
          <w:szCs w:val="18"/>
        </w:rPr>
        <w:t xml:space="preserve">For </w:t>
      </w:r>
      <w:proofErr w:type="spellStart"/>
      <w:r w:rsidRPr="00761F32">
        <w:rPr>
          <w:sz w:val="18"/>
          <w:szCs w:val="18"/>
        </w:rPr>
        <w:t>on-premise</w:t>
      </w:r>
      <w:proofErr w:type="spellEnd"/>
      <w:r w:rsidRPr="00761F32">
        <w:rPr>
          <w:sz w:val="18"/>
          <w:szCs w:val="18"/>
        </w:rPr>
        <w:t xml:space="preserve"> purchase of products based on food </w:t>
      </w:r>
      <w:r w:rsidRPr="00761F32">
        <w:rPr>
          <w:sz w:val="18"/>
          <w:szCs w:val="18"/>
          <w:u w:val="single"/>
        </w:rPr>
        <w:t>samples</w:t>
      </w:r>
      <w:r w:rsidRPr="00761F32">
        <w:rPr>
          <w:sz w:val="18"/>
          <w:szCs w:val="18"/>
        </w:rPr>
        <w:t xml:space="preserve"> distributed by an exhibitor.</w:t>
      </w:r>
    </w:p>
    <w:p w:rsidR="008D5077" w:rsidRPr="00761F32" w:rsidRDefault="008D5077" w:rsidP="00761F32">
      <w:pPr>
        <w:pStyle w:val="ListParagraph"/>
        <w:numPr>
          <w:ilvl w:val="0"/>
          <w:numId w:val="1"/>
        </w:numPr>
        <w:ind w:right="270"/>
        <w:rPr>
          <w:sz w:val="18"/>
          <w:szCs w:val="18"/>
        </w:rPr>
      </w:pPr>
      <w:r w:rsidRPr="00761F32">
        <w:rPr>
          <w:sz w:val="18"/>
          <w:szCs w:val="18"/>
        </w:rPr>
        <w:t xml:space="preserve">Any food and beverage product must have some relevancy to the type of show or the social make-up of expected clientele. </w:t>
      </w:r>
    </w:p>
    <w:p w:rsidR="008D5077" w:rsidRPr="00761F32" w:rsidRDefault="008D5077" w:rsidP="00761F32">
      <w:pPr>
        <w:pStyle w:val="ListParagraph"/>
        <w:numPr>
          <w:ilvl w:val="0"/>
          <w:numId w:val="1"/>
        </w:numPr>
        <w:ind w:right="270"/>
        <w:rPr>
          <w:sz w:val="18"/>
          <w:szCs w:val="18"/>
        </w:rPr>
      </w:pPr>
      <w:r w:rsidRPr="00761F32">
        <w:rPr>
          <w:sz w:val="18"/>
          <w:szCs w:val="18"/>
        </w:rPr>
        <w:t xml:space="preserve">Any food </w:t>
      </w:r>
      <w:r w:rsidRPr="00761F32">
        <w:rPr>
          <w:sz w:val="18"/>
          <w:szCs w:val="18"/>
          <w:u w:val="single"/>
        </w:rPr>
        <w:t>sample</w:t>
      </w:r>
      <w:r w:rsidRPr="00761F32">
        <w:rPr>
          <w:sz w:val="18"/>
          <w:szCs w:val="18"/>
        </w:rPr>
        <w:t xml:space="preserve"> from an exhibitor must be germane to that exhibitor’s business. </w:t>
      </w:r>
    </w:p>
    <w:p w:rsidR="008D5077" w:rsidRPr="00761F32" w:rsidRDefault="008D5077" w:rsidP="00761F32">
      <w:pPr>
        <w:pStyle w:val="ListParagraph"/>
        <w:numPr>
          <w:ilvl w:val="0"/>
          <w:numId w:val="1"/>
        </w:numPr>
        <w:ind w:right="270"/>
        <w:rPr>
          <w:sz w:val="18"/>
          <w:szCs w:val="18"/>
        </w:rPr>
      </w:pPr>
      <w:r w:rsidRPr="00761F32">
        <w:rPr>
          <w:sz w:val="18"/>
          <w:szCs w:val="18"/>
        </w:rPr>
        <w:t xml:space="preserve">Any food </w:t>
      </w:r>
      <w:r w:rsidRPr="00761F32">
        <w:rPr>
          <w:sz w:val="18"/>
          <w:szCs w:val="18"/>
          <w:u w:val="single"/>
        </w:rPr>
        <w:t>sample</w:t>
      </w:r>
      <w:r w:rsidRPr="00761F32">
        <w:rPr>
          <w:sz w:val="18"/>
          <w:szCs w:val="18"/>
        </w:rPr>
        <w:t xml:space="preserve"> distributed by an exhibitor must meet the following criteria:</w:t>
      </w:r>
    </w:p>
    <w:p w:rsidR="008D5077" w:rsidRPr="00761F32" w:rsidRDefault="008D5077" w:rsidP="00C76B3E">
      <w:pPr>
        <w:pStyle w:val="ListParagraph"/>
        <w:numPr>
          <w:ilvl w:val="1"/>
          <w:numId w:val="1"/>
        </w:numPr>
        <w:ind w:left="1080" w:right="360"/>
        <w:rPr>
          <w:sz w:val="18"/>
          <w:szCs w:val="18"/>
        </w:rPr>
      </w:pPr>
      <w:r w:rsidRPr="00761F32">
        <w:rPr>
          <w:sz w:val="18"/>
          <w:szCs w:val="18"/>
        </w:rPr>
        <w:t xml:space="preserve">All sample sizes are restricted and not to be competitive with the sizes of products sold by Aramark’s food and beverage outlets. Allowable sizes are: </w:t>
      </w:r>
      <w:r w:rsidRPr="00761F32">
        <w:rPr>
          <w:b/>
          <w:sz w:val="18"/>
          <w:szCs w:val="18"/>
          <w:u w:val="single"/>
        </w:rPr>
        <w:t>2-oz food</w:t>
      </w:r>
      <w:r w:rsidRPr="00761F32">
        <w:rPr>
          <w:sz w:val="18"/>
          <w:szCs w:val="18"/>
        </w:rPr>
        <w:t xml:space="preserve"> item and </w:t>
      </w:r>
      <w:r w:rsidRPr="00761F32">
        <w:rPr>
          <w:b/>
          <w:sz w:val="18"/>
          <w:szCs w:val="18"/>
          <w:u w:val="single"/>
        </w:rPr>
        <w:t>2-oz non-alcoholic beverage</w:t>
      </w:r>
      <w:r w:rsidRPr="00761F32">
        <w:rPr>
          <w:sz w:val="18"/>
          <w:szCs w:val="18"/>
        </w:rPr>
        <w:t xml:space="preserve">. </w:t>
      </w:r>
    </w:p>
    <w:p w:rsidR="008D5077" w:rsidRPr="00761F32" w:rsidRDefault="008D5077" w:rsidP="00761F32">
      <w:pPr>
        <w:pStyle w:val="ListParagraph"/>
        <w:numPr>
          <w:ilvl w:val="1"/>
          <w:numId w:val="1"/>
        </w:numPr>
        <w:ind w:left="1080" w:right="270"/>
        <w:rPr>
          <w:sz w:val="18"/>
          <w:szCs w:val="18"/>
        </w:rPr>
      </w:pPr>
      <w:r w:rsidRPr="00761F32">
        <w:rPr>
          <w:color w:val="FF0000"/>
          <w:sz w:val="18"/>
          <w:szCs w:val="18"/>
        </w:rPr>
        <w:t xml:space="preserve">ABSOLUTELY NO ALCOHOLIC BEVERAGES </w:t>
      </w:r>
      <w:r w:rsidRPr="00761F32">
        <w:rPr>
          <w:sz w:val="18"/>
          <w:szCs w:val="18"/>
        </w:rPr>
        <w:t xml:space="preserve">are permitted to be brought into NRG Park. Aramark is in compliance with Texas State Law, and in accordance with the laws and regulations of the Texas Alcoholic &amp; Beverage Commission (TABC) is responsible for the administration and service of any alcoholic beverages. </w:t>
      </w:r>
    </w:p>
    <w:p w:rsidR="008D5077" w:rsidRPr="00761F32" w:rsidRDefault="008D5077" w:rsidP="00761F32">
      <w:pPr>
        <w:pStyle w:val="ListParagraph"/>
        <w:numPr>
          <w:ilvl w:val="1"/>
          <w:numId w:val="1"/>
        </w:numPr>
        <w:ind w:left="1080" w:right="270"/>
        <w:rPr>
          <w:sz w:val="18"/>
          <w:szCs w:val="18"/>
        </w:rPr>
      </w:pPr>
      <w:r w:rsidRPr="00761F32">
        <w:rPr>
          <w:sz w:val="18"/>
          <w:szCs w:val="18"/>
        </w:rPr>
        <w:t xml:space="preserve">All food and beverage products sold by exhibitors must be packaged for at-home consumption and not to be consumed on premise. The minimum selling size must be pre-approved by NRG Park. </w:t>
      </w:r>
    </w:p>
    <w:p w:rsidR="008D5077" w:rsidRPr="00761F32" w:rsidRDefault="008D5077" w:rsidP="00761F32">
      <w:pPr>
        <w:pStyle w:val="ListParagraph"/>
        <w:numPr>
          <w:ilvl w:val="0"/>
          <w:numId w:val="1"/>
        </w:numPr>
        <w:ind w:right="270"/>
        <w:rPr>
          <w:sz w:val="18"/>
          <w:szCs w:val="18"/>
        </w:rPr>
      </w:pPr>
      <w:r w:rsidRPr="00761F32">
        <w:rPr>
          <w:sz w:val="18"/>
          <w:szCs w:val="18"/>
        </w:rPr>
        <w:t xml:space="preserve">Coca-Cola is one of the major sponsors of NRG Park, please note the following exceptions: </w:t>
      </w:r>
    </w:p>
    <w:p w:rsidR="008D5077" w:rsidRPr="00761F32" w:rsidRDefault="008D5077" w:rsidP="00761F32">
      <w:pPr>
        <w:pStyle w:val="ListParagraph"/>
        <w:numPr>
          <w:ilvl w:val="1"/>
          <w:numId w:val="1"/>
        </w:numPr>
        <w:ind w:left="1080" w:right="270"/>
        <w:rPr>
          <w:sz w:val="18"/>
          <w:szCs w:val="18"/>
        </w:rPr>
      </w:pPr>
      <w:r w:rsidRPr="00761F32">
        <w:rPr>
          <w:sz w:val="18"/>
          <w:szCs w:val="18"/>
        </w:rPr>
        <w:t xml:space="preserve">There can be </w:t>
      </w:r>
      <w:r w:rsidRPr="00761F32">
        <w:rPr>
          <w:b/>
          <w:sz w:val="18"/>
          <w:szCs w:val="18"/>
          <w:u w:val="single"/>
        </w:rPr>
        <w:t>no sampling of any coffee, carbonated beverage, isotonic sports drinks, or fruit juices other than a Coca-Cola product</w:t>
      </w:r>
      <w:r w:rsidRPr="00761F32">
        <w:rPr>
          <w:sz w:val="18"/>
          <w:szCs w:val="18"/>
        </w:rPr>
        <w:t xml:space="preserve">. Only hot tea samples can be distributed. </w:t>
      </w:r>
    </w:p>
    <w:p w:rsidR="008D5077" w:rsidRPr="00761F32" w:rsidRDefault="008D5077" w:rsidP="00761F32">
      <w:pPr>
        <w:pStyle w:val="ListParagraph"/>
        <w:numPr>
          <w:ilvl w:val="1"/>
          <w:numId w:val="1"/>
        </w:numPr>
        <w:spacing w:after="0"/>
        <w:ind w:left="1080" w:right="270"/>
        <w:rPr>
          <w:sz w:val="18"/>
          <w:szCs w:val="18"/>
        </w:rPr>
      </w:pPr>
      <w:r w:rsidRPr="00761F32">
        <w:rPr>
          <w:sz w:val="18"/>
          <w:szCs w:val="18"/>
        </w:rPr>
        <w:t xml:space="preserve">There can be </w:t>
      </w:r>
      <w:r w:rsidRPr="00761F32">
        <w:rPr>
          <w:b/>
          <w:sz w:val="18"/>
          <w:szCs w:val="18"/>
          <w:u w:val="single"/>
        </w:rPr>
        <w:t>no sampling of any type of bottled water</w:t>
      </w:r>
      <w:r w:rsidRPr="00761F32">
        <w:rPr>
          <w:sz w:val="18"/>
          <w:szCs w:val="18"/>
        </w:rPr>
        <w:t xml:space="preserve">. </w:t>
      </w:r>
    </w:p>
    <w:p w:rsidR="008D5077" w:rsidRPr="00761F32" w:rsidRDefault="008D5077" w:rsidP="00761F32">
      <w:pPr>
        <w:spacing w:after="0"/>
        <w:ind w:left="1710" w:right="270"/>
        <w:rPr>
          <w:sz w:val="18"/>
          <w:szCs w:val="18"/>
        </w:rPr>
      </w:pPr>
      <w:r w:rsidRPr="00761F32">
        <w:rPr>
          <w:sz w:val="18"/>
          <w:szCs w:val="18"/>
        </w:rPr>
        <w:t xml:space="preserve">*The above rules do not apply to “Food Shows” – i.e. Sysco, Jake’s Finer Foods or any show deemed a Food Show by NRG Park. </w:t>
      </w:r>
    </w:p>
    <w:p w:rsidR="008D5077" w:rsidRPr="00761F32" w:rsidRDefault="008D5077" w:rsidP="00761F32">
      <w:pPr>
        <w:pStyle w:val="ListParagraph"/>
        <w:numPr>
          <w:ilvl w:val="0"/>
          <w:numId w:val="1"/>
        </w:numPr>
        <w:ind w:right="270"/>
        <w:rPr>
          <w:sz w:val="18"/>
          <w:szCs w:val="18"/>
        </w:rPr>
      </w:pPr>
      <w:r w:rsidRPr="00761F32">
        <w:rPr>
          <w:sz w:val="18"/>
          <w:szCs w:val="18"/>
        </w:rPr>
        <w:t xml:space="preserve">Exhibitor is responsible for obtaining any permits required by the Health Department. </w:t>
      </w:r>
      <w:r w:rsidR="000B159C" w:rsidRPr="00761F32">
        <w:rPr>
          <w:sz w:val="18"/>
          <w:szCs w:val="18"/>
        </w:rPr>
        <w:t xml:space="preserve">Houston Health Department Bureau of Consumer Health Services Environmental Permits Office phone number is 832.393.5100. Forms can be obtained from the Health Department directly or from their website:  </w:t>
      </w:r>
      <w:hyperlink r:id="rId6" w:history="1">
        <w:r w:rsidR="000B159C" w:rsidRPr="00761F32">
          <w:rPr>
            <w:rStyle w:val="Hyperlink"/>
            <w:sz w:val="18"/>
            <w:szCs w:val="18"/>
          </w:rPr>
          <w:t>https://www.houstontx.gov/health/Food/documents/temporary-food-permit-application-1-9-days-20210104.pdf</w:t>
        </w:r>
      </w:hyperlink>
    </w:p>
    <w:p w:rsidR="000B159C" w:rsidRPr="00761F32" w:rsidRDefault="000B159C" w:rsidP="00C76B3E">
      <w:pPr>
        <w:pStyle w:val="ListParagraph"/>
        <w:numPr>
          <w:ilvl w:val="0"/>
          <w:numId w:val="1"/>
        </w:numPr>
        <w:spacing w:before="240" w:after="240"/>
        <w:rPr>
          <w:sz w:val="18"/>
          <w:szCs w:val="18"/>
        </w:rPr>
      </w:pPr>
      <w:r w:rsidRPr="00761F32">
        <w:rPr>
          <w:sz w:val="18"/>
          <w:szCs w:val="18"/>
        </w:rPr>
        <w:t xml:space="preserve">Any violation can result in NRG Park removing unauthorized items from the facility immediately. </w:t>
      </w:r>
    </w:p>
    <w:p w:rsidR="000B159C" w:rsidRPr="00761F32" w:rsidRDefault="000B159C" w:rsidP="00C76B3E">
      <w:pPr>
        <w:spacing w:after="240"/>
        <w:ind w:left="1080"/>
        <w:rPr>
          <w:sz w:val="18"/>
          <w:szCs w:val="18"/>
        </w:rPr>
      </w:pPr>
      <w:r w:rsidRPr="00761F32">
        <w:rPr>
          <w:sz w:val="18"/>
          <w:szCs w:val="18"/>
        </w:rPr>
        <w:t xml:space="preserve">I have read and will comply with the above guidelines. </w:t>
      </w:r>
    </w:p>
    <w:p w:rsidR="000B159C" w:rsidRPr="00761F32" w:rsidRDefault="000B159C" w:rsidP="00761F32">
      <w:pPr>
        <w:spacing w:after="0"/>
        <w:ind w:left="1080"/>
        <w:rPr>
          <w:b/>
          <w:sz w:val="18"/>
          <w:szCs w:val="18"/>
        </w:rPr>
      </w:pPr>
      <w:r w:rsidRPr="00761F32">
        <w:rPr>
          <w:b/>
          <w:sz w:val="18"/>
          <w:szCs w:val="18"/>
        </w:rPr>
        <w:t>__________________________________________</w:t>
      </w:r>
      <w:r w:rsidR="00761F32">
        <w:rPr>
          <w:b/>
          <w:sz w:val="18"/>
          <w:szCs w:val="18"/>
        </w:rPr>
        <w:softHyphen/>
      </w:r>
      <w:r w:rsidR="00761F32">
        <w:rPr>
          <w:b/>
          <w:sz w:val="18"/>
          <w:szCs w:val="18"/>
        </w:rPr>
        <w:softHyphen/>
      </w:r>
      <w:r w:rsidR="00761F32">
        <w:rPr>
          <w:b/>
          <w:sz w:val="18"/>
          <w:szCs w:val="18"/>
        </w:rPr>
        <w:softHyphen/>
      </w:r>
      <w:r w:rsidR="00761F32">
        <w:rPr>
          <w:b/>
          <w:sz w:val="18"/>
          <w:szCs w:val="18"/>
        </w:rPr>
        <w:softHyphen/>
      </w:r>
      <w:r w:rsidR="00761F32">
        <w:rPr>
          <w:b/>
          <w:sz w:val="18"/>
          <w:szCs w:val="18"/>
        </w:rPr>
        <w:softHyphen/>
        <w:t>___</w:t>
      </w:r>
      <w:r w:rsidRPr="00761F32">
        <w:rPr>
          <w:b/>
          <w:sz w:val="18"/>
          <w:szCs w:val="18"/>
        </w:rPr>
        <w:t xml:space="preserve">                           _______________________________</w:t>
      </w:r>
    </w:p>
    <w:p w:rsidR="000B159C" w:rsidRPr="00761F32" w:rsidRDefault="000B159C" w:rsidP="00761F32">
      <w:pPr>
        <w:spacing w:after="0"/>
        <w:ind w:left="1080"/>
        <w:rPr>
          <w:b/>
          <w:sz w:val="18"/>
          <w:szCs w:val="18"/>
        </w:rPr>
      </w:pPr>
      <w:r w:rsidRPr="00761F32">
        <w:rPr>
          <w:b/>
          <w:sz w:val="18"/>
          <w:szCs w:val="18"/>
        </w:rPr>
        <w:t>Company Repre</w:t>
      </w:r>
      <w:r w:rsidR="00761F32">
        <w:rPr>
          <w:b/>
          <w:sz w:val="18"/>
          <w:szCs w:val="18"/>
        </w:rPr>
        <w:t>sentative</w:t>
      </w:r>
      <w:r w:rsidR="00761F32">
        <w:rPr>
          <w:b/>
          <w:sz w:val="18"/>
          <w:szCs w:val="18"/>
        </w:rPr>
        <w:tab/>
      </w:r>
      <w:r w:rsidR="00761F32">
        <w:rPr>
          <w:b/>
          <w:sz w:val="18"/>
          <w:szCs w:val="18"/>
        </w:rPr>
        <w:tab/>
      </w:r>
      <w:r w:rsidR="00761F32">
        <w:rPr>
          <w:b/>
          <w:sz w:val="18"/>
          <w:szCs w:val="18"/>
        </w:rPr>
        <w:tab/>
      </w:r>
      <w:r w:rsidR="00761F32">
        <w:rPr>
          <w:b/>
          <w:sz w:val="18"/>
          <w:szCs w:val="18"/>
        </w:rPr>
        <w:tab/>
        <w:t xml:space="preserve">           </w:t>
      </w:r>
      <w:r w:rsidRPr="00761F32">
        <w:rPr>
          <w:b/>
          <w:sz w:val="18"/>
          <w:szCs w:val="18"/>
        </w:rPr>
        <w:t>Date</w:t>
      </w:r>
    </w:p>
    <w:p w:rsidR="00761F32" w:rsidRDefault="00761F32" w:rsidP="000B159C">
      <w:pPr>
        <w:rPr>
          <w:sz w:val="18"/>
          <w:szCs w:val="18"/>
        </w:rPr>
      </w:pPr>
    </w:p>
    <w:p w:rsidR="000B159C" w:rsidRPr="00761F32" w:rsidRDefault="000B159C" w:rsidP="002971F8">
      <w:pPr>
        <w:spacing w:after="240"/>
        <w:ind w:left="360"/>
        <w:rPr>
          <w:sz w:val="18"/>
          <w:szCs w:val="18"/>
        </w:rPr>
      </w:pPr>
      <w:r w:rsidRPr="00761F32">
        <w:rPr>
          <w:sz w:val="18"/>
          <w:szCs w:val="18"/>
        </w:rPr>
        <w:t>Show or Event Name:  __________________________</w:t>
      </w:r>
      <w:r w:rsidR="00761F32">
        <w:rPr>
          <w:sz w:val="18"/>
          <w:szCs w:val="18"/>
        </w:rPr>
        <w:t>________</w:t>
      </w:r>
      <w:r w:rsidR="00C76B3E">
        <w:rPr>
          <w:sz w:val="18"/>
          <w:szCs w:val="18"/>
        </w:rPr>
        <w:t>____</w:t>
      </w:r>
      <w:r w:rsidR="00761F32">
        <w:rPr>
          <w:sz w:val="18"/>
          <w:szCs w:val="18"/>
        </w:rPr>
        <w:tab/>
        <w:t xml:space="preserve">          </w:t>
      </w:r>
      <w:r w:rsidRPr="00761F32">
        <w:rPr>
          <w:sz w:val="18"/>
          <w:szCs w:val="18"/>
        </w:rPr>
        <w:t>Event Date(s):  ____________________</w:t>
      </w:r>
      <w:r w:rsidR="00761F32">
        <w:rPr>
          <w:sz w:val="18"/>
          <w:szCs w:val="18"/>
        </w:rPr>
        <w:t>____________</w:t>
      </w:r>
    </w:p>
    <w:p w:rsidR="000B159C" w:rsidRPr="00761F32" w:rsidRDefault="000B159C" w:rsidP="002971F8">
      <w:pPr>
        <w:spacing w:after="240"/>
        <w:ind w:left="360"/>
        <w:rPr>
          <w:sz w:val="18"/>
          <w:szCs w:val="18"/>
        </w:rPr>
      </w:pPr>
      <w:r w:rsidRPr="00761F32">
        <w:rPr>
          <w:sz w:val="18"/>
          <w:szCs w:val="18"/>
        </w:rPr>
        <w:t xml:space="preserve">Company Name: </w:t>
      </w:r>
      <w:r w:rsidR="00761F32">
        <w:rPr>
          <w:sz w:val="18"/>
          <w:szCs w:val="18"/>
        </w:rPr>
        <w:t xml:space="preserve"> </w:t>
      </w:r>
      <w:r w:rsidR="00761F32">
        <w:rPr>
          <w:sz w:val="18"/>
          <w:szCs w:val="18"/>
        </w:rPr>
        <w:softHyphen/>
        <w:t>______________________________________</w:t>
      </w:r>
      <w:r w:rsidR="00C76B3E">
        <w:rPr>
          <w:sz w:val="18"/>
          <w:szCs w:val="18"/>
        </w:rPr>
        <w:t>____</w:t>
      </w:r>
      <w:r w:rsidR="00761F32">
        <w:rPr>
          <w:sz w:val="18"/>
          <w:szCs w:val="18"/>
        </w:rPr>
        <w:tab/>
        <w:t xml:space="preserve">          </w:t>
      </w:r>
      <w:r w:rsidRPr="00761F32">
        <w:rPr>
          <w:sz w:val="18"/>
          <w:szCs w:val="18"/>
        </w:rPr>
        <w:t>Phone:  __________________________</w:t>
      </w:r>
      <w:r w:rsidR="00761F32">
        <w:rPr>
          <w:sz w:val="18"/>
          <w:szCs w:val="18"/>
        </w:rPr>
        <w:t>____________</w:t>
      </w:r>
    </w:p>
    <w:p w:rsidR="000B159C" w:rsidRPr="00761F32" w:rsidRDefault="000B159C" w:rsidP="002971F8">
      <w:pPr>
        <w:spacing w:after="240"/>
        <w:ind w:left="360"/>
        <w:rPr>
          <w:sz w:val="18"/>
          <w:szCs w:val="18"/>
        </w:rPr>
      </w:pPr>
      <w:r w:rsidRPr="00761F32">
        <w:rPr>
          <w:sz w:val="18"/>
          <w:szCs w:val="18"/>
        </w:rPr>
        <w:t xml:space="preserve">Contact Name:  </w:t>
      </w:r>
      <w:r w:rsidR="00761F32">
        <w:rPr>
          <w:sz w:val="18"/>
          <w:szCs w:val="18"/>
        </w:rPr>
        <w:t>_______________________________________</w:t>
      </w:r>
      <w:r w:rsidR="00C76B3E">
        <w:rPr>
          <w:sz w:val="18"/>
          <w:szCs w:val="18"/>
        </w:rPr>
        <w:t>____</w:t>
      </w:r>
      <w:r w:rsidR="00761F32">
        <w:rPr>
          <w:sz w:val="18"/>
          <w:szCs w:val="18"/>
        </w:rPr>
        <w:tab/>
        <w:t xml:space="preserve">          </w:t>
      </w:r>
      <w:r w:rsidRPr="00761F32">
        <w:rPr>
          <w:sz w:val="18"/>
          <w:szCs w:val="18"/>
        </w:rPr>
        <w:t>Fax:  ____________________________</w:t>
      </w:r>
      <w:r w:rsidR="00761F32">
        <w:rPr>
          <w:sz w:val="18"/>
          <w:szCs w:val="18"/>
        </w:rPr>
        <w:t>____________</w:t>
      </w:r>
    </w:p>
    <w:p w:rsidR="000B159C" w:rsidRPr="00761F32" w:rsidRDefault="000B159C" w:rsidP="002971F8">
      <w:pPr>
        <w:spacing w:after="240"/>
        <w:ind w:left="360"/>
        <w:rPr>
          <w:sz w:val="18"/>
          <w:szCs w:val="18"/>
        </w:rPr>
      </w:pPr>
      <w:r w:rsidRPr="00761F32">
        <w:rPr>
          <w:sz w:val="18"/>
          <w:szCs w:val="18"/>
        </w:rPr>
        <w:t>Address:  __________________</w:t>
      </w:r>
      <w:r w:rsidR="00761F32">
        <w:rPr>
          <w:sz w:val="18"/>
          <w:szCs w:val="18"/>
        </w:rPr>
        <w:t>__________________________</w:t>
      </w:r>
      <w:r w:rsidR="00C76B3E">
        <w:rPr>
          <w:sz w:val="18"/>
          <w:szCs w:val="18"/>
        </w:rPr>
        <w:t>____</w:t>
      </w:r>
      <w:r w:rsidR="00761F32">
        <w:rPr>
          <w:sz w:val="18"/>
          <w:szCs w:val="18"/>
        </w:rPr>
        <w:tab/>
      </w:r>
      <w:r w:rsidR="00C76B3E">
        <w:rPr>
          <w:sz w:val="18"/>
          <w:szCs w:val="18"/>
        </w:rPr>
        <w:t xml:space="preserve">          </w:t>
      </w:r>
      <w:r w:rsidRPr="00761F32">
        <w:rPr>
          <w:sz w:val="18"/>
          <w:szCs w:val="18"/>
        </w:rPr>
        <w:t>City/ST/Zip:  ______________________</w:t>
      </w:r>
      <w:r w:rsidR="00C76B3E">
        <w:rPr>
          <w:sz w:val="18"/>
          <w:szCs w:val="18"/>
        </w:rPr>
        <w:t>____________</w:t>
      </w:r>
    </w:p>
    <w:p w:rsidR="000B159C" w:rsidRPr="00761F32" w:rsidRDefault="000B159C" w:rsidP="002971F8">
      <w:pPr>
        <w:spacing w:after="240"/>
        <w:ind w:left="360"/>
        <w:rPr>
          <w:sz w:val="18"/>
          <w:szCs w:val="18"/>
        </w:rPr>
      </w:pPr>
      <w:r w:rsidRPr="00761F32">
        <w:rPr>
          <w:sz w:val="18"/>
          <w:szCs w:val="18"/>
        </w:rPr>
        <w:t>Email:  _______________________________________________________________________________</w:t>
      </w:r>
      <w:r w:rsidR="00C76B3E">
        <w:rPr>
          <w:sz w:val="18"/>
          <w:szCs w:val="18"/>
        </w:rPr>
        <w:t>_________________________</w:t>
      </w:r>
    </w:p>
    <w:tbl>
      <w:tblPr>
        <w:tblStyle w:val="TableGrid"/>
        <w:tblpPr w:leftFromText="180" w:rightFromText="180" w:vertAnchor="text" w:horzAnchor="margin" w:tblpXSpec="center" w:tblpY="317"/>
        <w:tblW w:w="8995" w:type="dxa"/>
        <w:tblLook w:val="04A0" w:firstRow="1" w:lastRow="0" w:firstColumn="1" w:lastColumn="0" w:noHBand="0" w:noVBand="1"/>
      </w:tblPr>
      <w:tblGrid>
        <w:gridCol w:w="1656"/>
        <w:gridCol w:w="1656"/>
        <w:gridCol w:w="5683"/>
      </w:tblGrid>
      <w:tr w:rsidR="006568BA" w:rsidRPr="00761F32" w:rsidTr="006568BA">
        <w:trPr>
          <w:trHeight w:val="237"/>
        </w:trPr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6568BA" w:rsidRDefault="006568BA" w:rsidP="006568BA">
            <w:pPr>
              <w:ind w:left="-24"/>
              <w:rPr>
                <w:b/>
                <w:sz w:val="18"/>
                <w:szCs w:val="18"/>
              </w:rPr>
            </w:pPr>
            <w:r w:rsidRPr="00761F32">
              <w:rPr>
                <w:b/>
                <w:sz w:val="18"/>
                <w:szCs w:val="18"/>
              </w:rPr>
              <w:t>Sample Size</w:t>
            </w:r>
          </w:p>
          <w:p w:rsidR="006568BA" w:rsidRPr="00761F32" w:rsidRDefault="006568BA" w:rsidP="006568BA">
            <w:pPr>
              <w:ind w:left="-2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(2-oz or less)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6568BA" w:rsidRPr="00761F32" w:rsidRDefault="006568BA" w:rsidP="006568BA">
            <w:pPr>
              <w:rPr>
                <w:b/>
                <w:sz w:val="18"/>
                <w:szCs w:val="18"/>
              </w:rPr>
            </w:pPr>
            <w:r w:rsidRPr="00761F32">
              <w:rPr>
                <w:b/>
                <w:sz w:val="18"/>
                <w:szCs w:val="18"/>
              </w:rPr>
              <w:t>Selling Size</w:t>
            </w:r>
          </w:p>
        </w:tc>
        <w:tc>
          <w:tcPr>
            <w:tcW w:w="5683" w:type="dxa"/>
            <w:shd w:val="clear" w:color="auto" w:fill="BFBFBF" w:themeFill="background1" w:themeFillShade="BF"/>
            <w:vAlign w:val="center"/>
          </w:tcPr>
          <w:p w:rsidR="006568BA" w:rsidRPr="00761F32" w:rsidRDefault="006568BA" w:rsidP="006568BA">
            <w:pPr>
              <w:rPr>
                <w:b/>
                <w:sz w:val="18"/>
                <w:szCs w:val="18"/>
              </w:rPr>
            </w:pPr>
            <w:r w:rsidRPr="00761F32">
              <w:rPr>
                <w:b/>
                <w:sz w:val="18"/>
                <w:szCs w:val="18"/>
              </w:rPr>
              <w:t>Item Description</w:t>
            </w:r>
          </w:p>
        </w:tc>
      </w:tr>
      <w:tr w:rsidR="006568BA" w:rsidRPr="00761F32" w:rsidTr="006568BA">
        <w:trPr>
          <w:trHeight w:val="421"/>
        </w:trPr>
        <w:tc>
          <w:tcPr>
            <w:tcW w:w="1656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  <w:tc>
          <w:tcPr>
            <w:tcW w:w="5683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</w:tr>
      <w:tr w:rsidR="006568BA" w:rsidRPr="00761F32" w:rsidTr="006568BA">
        <w:trPr>
          <w:trHeight w:val="412"/>
        </w:trPr>
        <w:tc>
          <w:tcPr>
            <w:tcW w:w="1656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  <w:tc>
          <w:tcPr>
            <w:tcW w:w="5683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</w:tr>
      <w:tr w:rsidR="006568BA" w:rsidRPr="00761F32" w:rsidTr="006568BA">
        <w:trPr>
          <w:trHeight w:val="421"/>
        </w:trPr>
        <w:tc>
          <w:tcPr>
            <w:tcW w:w="1656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  <w:tc>
          <w:tcPr>
            <w:tcW w:w="5683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</w:tr>
      <w:tr w:rsidR="006568BA" w:rsidRPr="00761F32" w:rsidTr="006568BA">
        <w:trPr>
          <w:trHeight w:val="412"/>
        </w:trPr>
        <w:tc>
          <w:tcPr>
            <w:tcW w:w="1656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  <w:tc>
          <w:tcPr>
            <w:tcW w:w="5683" w:type="dxa"/>
          </w:tcPr>
          <w:p w:rsidR="006568BA" w:rsidRPr="00761F32" w:rsidRDefault="006568BA" w:rsidP="00C76B3E">
            <w:pPr>
              <w:rPr>
                <w:sz w:val="18"/>
                <w:szCs w:val="18"/>
              </w:rPr>
            </w:pPr>
          </w:p>
        </w:tc>
      </w:tr>
    </w:tbl>
    <w:p w:rsidR="000B159C" w:rsidRPr="00761F32" w:rsidRDefault="000B159C" w:rsidP="00C76B3E">
      <w:pPr>
        <w:spacing w:after="0"/>
        <w:ind w:left="360"/>
        <w:rPr>
          <w:sz w:val="18"/>
          <w:szCs w:val="18"/>
        </w:rPr>
      </w:pPr>
      <w:r w:rsidRPr="00761F32">
        <w:rPr>
          <w:sz w:val="18"/>
          <w:szCs w:val="18"/>
        </w:rPr>
        <w:t xml:space="preserve">Please list all items that will be sampled in your booth. Allow 1 week for approval. </w:t>
      </w:r>
    </w:p>
    <w:p w:rsidR="006568BA" w:rsidRDefault="006568BA" w:rsidP="00C76B3E">
      <w:pPr>
        <w:spacing w:before="160" w:after="0"/>
        <w:jc w:val="center"/>
        <w:rPr>
          <w:b/>
          <w:sz w:val="18"/>
          <w:szCs w:val="18"/>
        </w:rPr>
      </w:pPr>
    </w:p>
    <w:p w:rsidR="006568BA" w:rsidRDefault="006568BA" w:rsidP="00C76B3E">
      <w:pPr>
        <w:spacing w:before="160" w:after="0"/>
        <w:jc w:val="center"/>
        <w:rPr>
          <w:b/>
          <w:sz w:val="18"/>
          <w:szCs w:val="18"/>
        </w:rPr>
      </w:pPr>
    </w:p>
    <w:p w:rsidR="006568BA" w:rsidRDefault="006568BA" w:rsidP="00C76B3E">
      <w:pPr>
        <w:spacing w:before="160" w:after="0"/>
        <w:jc w:val="center"/>
        <w:rPr>
          <w:b/>
          <w:sz w:val="18"/>
          <w:szCs w:val="18"/>
        </w:rPr>
      </w:pPr>
    </w:p>
    <w:p w:rsidR="006568BA" w:rsidRDefault="006568BA" w:rsidP="00C76B3E">
      <w:pPr>
        <w:spacing w:before="160" w:after="0"/>
        <w:jc w:val="center"/>
        <w:rPr>
          <w:b/>
          <w:sz w:val="18"/>
          <w:szCs w:val="18"/>
        </w:rPr>
      </w:pPr>
    </w:p>
    <w:p w:rsidR="006568BA" w:rsidRDefault="006568BA" w:rsidP="00C76B3E">
      <w:pPr>
        <w:spacing w:before="160" w:after="0"/>
        <w:jc w:val="center"/>
        <w:rPr>
          <w:b/>
          <w:sz w:val="18"/>
          <w:szCs w:val="18"/>
        </w:rPr>
      </w:pPr>
    </w:p>
    <w:p w:rsidR="006568BA" w:rsidRDefault="006568BA" w:rsidP="00C76B3E">
      <w:pPr>
        <w:spacing w:before="160" w:after="0"/>
        <w:jc w:val="center"/>
        <w:rPr>
          <w:b/>
          <w:sz w:val="18"/>
          <w:szCs w:val="18"/>
        </w:rPr>
      </w:pPr>
    </w:p>
    <w:p w:rsidR="000B159C" w:rsidRPr="00761F32" w:rsidRDefault="000B159C" w:rsidP="00C76B3E">
      <w:pPr>
        <w:spacing w:before="160" w:after="0"/>
        <w:jc w:val="center"/>
        <w:rPr>
          <w:b/>
          <w:sz w:val="18"/>
          <w:szCs w:val="18"/>
        </w:rPr>
      </w:pPr>
      <w:r w:rsidRPr="00761F32">
        <w:rPr>
          <w:b/>
          <w:sz w:val="18"/>
          <w:szCs w:val="18"/>
        </w:rPr>
        <w:t xml:space="preserve">Return to </w:t>
      </w:r>
      <w:r w:rsidR="00D4617C">
        <w:rPr>
          <w:b/>
          <w:sz w:val="18"/>
          <w:szCs w:val="18"/>
        </w:rPr>
        <w:t>Keith Butler</w:t>
      </w:r>
      <w:r w:rsidRPr="00761F32">
        <w:rPr>
          <w:b/>
          <w:sz w:val="18"/>
          <w:szCs w:val="18"/>
        </w:rPr>
        <w:t xml:space="preserve"> by email, </w:t>
      </w:r>
      <w:r w:rsidR="00D4617C">
        <w:rPr>
          <w:b/>
          <w:sz w:val="18"/>
          <w:szCs w:val="18"/>
        </w:rPr>
        <w:t>kbutler</w:t>
      </w:r>
      <w:r w:rsidRPr="00761F32">
        <w:rPr>
          <w:b/>
          <w:sz w:val="18"/>
          <w:szCs w:val="18"/>
        </w:rPr>
        <w:t>@nrgpark.com</w:t>
      </w:r>
      <w:r w:rsidR="002971F8">
        <w:rPr>
          <w:b/>
          <w:sz w:val="18"/>
          <w:szCs w:val="18"/>
        </w:rPr>
        <w:t>,</w:t>
      </w:r>
    </w:p>
    <w:p w:rsidR="000B159C" w:rsidRPr="00761F32" w:rsidRDefault="000B159C" w:rsidP="00C76B3E">
      <w:pPr>
        <w:spacing w:after="240"/>
        <w:jc w:val="center"/>
        <w:rPr>
          <w:b/>
          <w:sz w:val="18"/>
          <w:szCs w:val="18"/>
        </w:rPr>
      </w:pPr>
      <w:bookmarkStart w:id="0" w:name="_GoBack"/>
      <w:bookmarkEnd w:id="0"/>
      <w:r w:rsidRPr="00761F32">
        <w:rPr>
          <w:b/>
          <w:sz w:val="18"/>
          <w:szCs w:val="18"/>
        </w:rPr>
        <w:t>Fax to 832.667.1748</w:t>
      </w:r>
      <w:r w:rsidR="002971F8">
        <w:rPr>
          <w:b/>
          <w:sz w:val="18"/>
          <w:szCs w:val="18"/>
        </w:rPr>
        <w:t>,</w:t>
      </w:r>
      <w:r w:rsidRPr="00761F32">
        <w:rPr>
          <w:b/>
          <w:sz w:val="18"/>
          <w:szCs w:val="18"/>
        </w:rPr>
        <w:t xml:space="preserve"> or mail to One NRG Park, Houston, TX 770054, Contact 832.667.174</w:t>
      </w:r>
      <w:r w:rsidR="00D4617C">
        <w:rPr>
          <w:b/>
          <w:sz w:val="18"/>
          <w:szCs w:val="18"/>
        </w:rPr>
        <w:t>4</w:t>
      </w:r>
    </w:p>
    <w:p w:rsidR="000B159C" w:rsidRPr="00761F32" w:rsidRDefault="000B159C" w:rsidP="006568BA">
      <w:pPr>
        <w:jc w:val="center"/>
        <w:rPr>
          <w:sz w:val="18"/>
          <w:szCs w:val="18"/>
        </w:rPr>
      </w:pPr>
      <w:r w:rsidRPr="00761F32">
        <w:rPr>
          <w:sz w:val="18"/>
          <w:szCs w:val="18"/>
        </w:rPr>
        <w:t>NRG Park Approval ______________________________</w:t>
      </w:r>
      <w:r w:rsidR="00971582">
        <w:rPr>
          <w:sz w:val="18"/>
          <w:szCs w:val="18"/>
        </w:rPr>
        <w:t>___</w:t>
      </w:r>
      <w:r w:rsidRPr="00761F32">
        <w:rPr>
          <w:sz w:val="18"/>
          <w:szCs w:val="18"/>
        </w:rPr>
        <w:t xml:space="preserve">  </w:t>
      </w:r>
      <w:r w:rsidR="00971582">
        <w:rPr>
          <w:sz w:val="18"/>
          <w:szCs w:val="18"/>
        </w:rPr>
        <w:t xml:space="preserve"> </w:t>
      </w:r>
      <w:r w:rsidRPr="00761F32">
        <w:rPr>
          <w:sz w:val="18"/>
          <w:szCs w:val="18"/>
        </w:rPr>
        <w:t>Date_______________________</w:t>
      </w:r>
    </w:p>
    <w:sectPr w:rsidR="000B159C" w:rsidRPr="00761F32" w:rsidSect="00761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62D3F"/>
    <w:multiLevelType w:val="hybridMultilevel"/>
    <w:tmpl w:val="2AC2B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77"/>
    <w:rsid w:val="000B159C"/>
    <w:rsid w:val="002766E1"/>
    <w:rsid w:val="002971F8"/>
    <w:rsid w:val="00565FE4"/>
    <w:rsid w:val="006568BA"/>
    <w:rsid w:val="007228F9"/>
    <w:rsid w:val="00761F32"/>
    <w:rsid w:val="008D5077"/>
    <w:rsid w:val="00971582"/>
    <w:rsid w:val="00C76B3E"/>
    <w:rsid w:val="00D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0667C-3340-4122-903B-BB45C1E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5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ustontx.gov/health/Food/documents/temporary-food-permit-application-1-9-days-20210104.pdf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1F6A95CE07B47B90BB7816C6276D1" ma:contentTypeVersion="15" ma:contentTypeDescription="Create a new document." ma:contentTypeScope="" ma:versionID="d64366bf78c0017ccf540624b0fde9eb">
  <xsd:schema xmlns:xsd="http://www.w3.org/2001/XMLSchema" xmlns:xs="http://www.w3.org/2001/XMLSchema" xmlns:p="http://schemas.microsoft.com/office/2006/metadata/properties" xmlns:ns2="b95b5e7d-2136-4cf6-8029-d4974905abed" xmlns:ns3="e5bc8da8-92c3-4eed-acb7-18bce7b137eb" targetNamespace="http://schemas.microsoft.com/office/2006/metadata/properties" ma:root="true" ma:fieldsID="d30ed34a7fd9af61d1997fd672a4370c" ns2:_="" ns3:_="">
    <xsd:import namespace="b95b5e7d-2136-4cf6-8029-d4974905abed"/>
    <xsd:import namespace="e5bc8da8-92c3-4eed-acb7-18bce7b137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5e7d-2136-4cf6-8029-d4974905a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ff460c9-5484-4651-b622-89d82627cf55}" ma:internalName="TaxCatchAll" ma:showField="CatchAllData" ma:web="b95b5e7d-2136-4cf6-8029-d4974905a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c8da8-92c3-4eed-acb7-18bce7b13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386311-ea15-4ef5-8635-a05526f1f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FBBBF-0E3A-48D8-94F5-57AE523A0F48}"/>
</file>

<file path=customXml/itemProps2.xml><?xml version="1.0" encoding="utf-8"?>
<ds:datastoreItem xmlns:ds="http://schemas.openxmlformats.org/officeDocument/2006/customXml" ds:itemID="{78DA9B37-E31B-49C1-A23B-DFC716B2C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Kayla</dc:creator>
  <cp:keywords/>
  <dc:description/>
  <cp:lastModifiedBy>Butler, Keith</cp:lastModifiedBy>
  <cp:revision>3</cp:revision>
  <cp:lastPrinted>2021-03-02T12:07:00Z</cp:lastPrinted>
  <dcterms:created xsi:type="dcterms:W3CDTF">2021-03-02T23:38:00Z</dcterms:created>
  <dcterms:modified xsi:type="dcterms:W3CDTF">2021-03-02T23:40:00Z</dcterms:modified>
</cp:coreProperties>
</file>